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令和８年２月</w:t>
      </w:r>
      <w:r>
        <w:rPr>
          <w:rFonts w:hint="eastAsia"/>
        </w:rPr>
        <w:t>19</w:t>
      </w:r>
      <w:r>
        <w:rPr>
          <w:rFonts w:hint="eastAsia"/>
        </w:rPr>
        <w:t>日付けで一般競争入札公告のありました、気仙医療圏医療ガス単価契約に係る入札に参加したいので、入札説明書３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Chars="0" w:firstLineChars="0"/>
        <w:rPr>
          <w:rFonts w:hint="default" w:asciiTheme="majorEastAsia" w:hAnsiTheme="majorEastAsia" w:eastAsiaTheme="majorEastAsia"/>
        </w:rPr>
      </w:pPr>
      <w:r>
        <w:rPr>
          <w:rFonts w:hint="eastAsia" w:asciiTheme="majorEastAsia" w:hAnsiTheme="majorEastAsia" w:eastAsiaTheme="majorEastAsia"/>
        </w:rPr>
        <w:t>３　</w:t>
      </w:r>
      <w:r>
        <w:rPr>
          <w:rFonts w:hint="eastAsia" w:ascii="ＭＳ 明朝" w:hAnsi="ＭＳ 明朝"/>
          <w:sz w:val="22"/>
        </w:rPr>
        <w:t>過去</w:t>
      </w:r>
      <w:r>
        <w:rPr>
          <w:rFonts w:hint="eastAsia" w:ascii="ＭＳ 明朝" w:hAnsi="ＭＳ 明朝"/>
          <w:sz w:val="22"/>
        </w:rPr>
        <w:t>2</w:t>
      </w:r>
      <w:r>
        <w:rPr>
          <w:rFonts w:hint="eastAsia" w:ascii="ＭＳ 明朝" w:hAnsi="ＭＳ 明朝"/>
          <w:sz w:val="22"/>
        </w:rPr>
        <w:t>年以内に当契約と同種同規模の契約を複数実施し、その全てを誠実に履行して</w:t>
      </w:r>
    </w:p>
    <w:p>
      <w:pPr>
        <w:pStyle w:val="0"/>
        <w:ind w:leftChars="0" w:firstLineChars="0"/>
        <w:rPr>
          <w:rFonts w:hint="default" w:asciiTheme="majorEastAsia" w:hAnsiTheme="majorEastAsia" w:eastAsiaTheme="majorEastAsia"/>
        </w:rPr>
      </w:pPr>
      <w:r>
        <w:rPr>
          <w:rFonts w:hint="eastAsia" w:ascii="ＭＳ 明朝" w:hAnsi="ＭＳ 明朝"/>
          <w:sz w:val="22"/>
        </w:rPr>
        <w:t>　　　　　　　　　　　　　　　　　　　　　　　　　　　　　　　</w:t>
      </w:r>
      <w:r>
        <w:rPr>
          <w:rFonts w:hint="eastAsia"/>
        </w:rPr>
        <w:t>【　</w:t>
      </w:r>
      <w:r>
        <w:rPr>
          <w:rFonts w:hint="eastAsia" w:ascii="ＭＳ ゴシック" w:hAnsi="ＭＳ ゴシック" w:eastAsia="ＭＳ ゴシック"/>
        </w:rPr>
        <w:t>いる・いない　】</w:t>
      </w:r>
    </w:p>
    <w:p>
      <w:pPr>
        <w:pStyle w:val="0"/>
        <w:ind w:left="241" w:hanging="241" w:hangingChars="100"/>
        <w:rPr>
          <w:rFonts w:hint="default" w:ascii="ＭＳ ゴシック" w:hAnsi="ＭＳ ゴシック" w:eastAsia="ＭＳ ゴシック"/>
        </w:rPr>
      </w:pPr>
      <w:r>
        <w:rPr>
          <w:rFonts w:hint="eastAsia"/>
        </w:rPr>
        <w:t>４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rPr>
          <w:rFonts w:hint="default" w:ascii="ＭＳ ゴシック" w:hAnsi="ＭＳ ゴシック" w:eastAsia="ＭＳ ゴシック"/>
        </w:rPr>
      </w:pPr>
      <w:r>
        <w:rPr>
          <w:rFonts w:hint="eastAsia"/>
        </w:rPr>
        <w:t>５　</w:t>
      </w:r>
      <w:r>
        <w:rPr>
          <w:rFonts w:hint="eastAsia" w:ascii="ＭＳ 明朝" w:hAnsi="ＭＳ 明朝"/>
          <w:sz w:val="22"/>
        </w:rPr>
        <w:t>大船渡市、陸前高田市、住田町、釜石市、大槌町、奥州市、金ヶ崎町、花巻市、北上市、遠野市、一関市、平泉町または西和賀町に本社、支店、営業所のいずれかを有し</w:t>
      </w:r>
      <w:r>
        <w:rPr>
          <w:rFonts w:hint="eastAsia"/>
          <w:sz w:val="22"/>
        </w:rPr>
        <w:t>　　　　　　　　　　　　　　　　　</w:t>
      </w:r>
      <w:r>
        <w:rPr>
          <w:rFonts w:hint="eastAsia"/>
          <w:sz w:val="22"/>
        </w:rPr>
        <w:t xml:space="preserve"> </w:t>
      </w:r>
      <w:r>
        <w:rPr>
          <w:rFonts w:hint="eastAsia"/>
          <w:sz w:val="22"/>
        </w:rPr>
        <w:t>て　　　　　　　　　　　　　　　　　　　　　　　　　　　　　</w:t>
      </w:r>
      <w:r>
        <w:rPr>
          <w:rFonts w:hint="eastAsia"/>
        </w:rPr>
        <w:t>【　</w:t>
      </w:r>
      <w:r>
        <w:rPr>
          <w:rFonts w:hint="eastAsia" w:ascii="ＭＳ ゴシック" w:hAnsi="ＭＳ ゴシック" w:eastAsia="ＭＳ ゴシック"/>
        </w:rPr>
        <w:t>いる・いない　】</w:t>
      </w:r>
    </w:p>
    <w:p>
      <w:pPr>
        <w:pStyle w:val="0"/>
        <w:ind w:left="241" w:hanging="241" w:hangingChars="100"/>
        <w:rPr>
          <w:rFonts w:hint="default" w:ascii="ＭＳ 明朝" w:hAnsi="ＭＳ 明朝"/>
        </w:rPr>
      </w:pPr>
      <w:r>
        <w:rPr>
          <w:rFonts w:hint="eastAsia"/>
        </w:rPr>
        <w:t>６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様式第２号</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w:t>
      </w:r>
      <w:r>
        <w:rPr>
          <w:rFonts w:hint="eastAsia"/>
        </w:rPr>
        <w:t>星田　徹</w:t>
      </w:r>
      <w:r>
        <w:rPr>
          <w:rFonts w:hint="eastAsia" w:ascii="ＭＳ 明朝" w:hAnsi="ＭＳ 明朝"/>
          <w:sz w:val="22"/>
        </w:rPr>
        <w:t>　様</w:t>
      </w:r>
    </w:p>
    <w:p>
      <w:pPr>
        <w:pStyle w:val="0"/>
        <w:rPr>
          <w:rFonts w:hint="default" w:ascii="ＭＳ 明朝" w:hAnsi="ＭＳ 明朝"/>
          <w:sz w:val="22"/>
        </w:rPr>
      </w:pPr>
    </w:p>
    <w:p>
      <w:pPr>
        <w:pStyle w:val="0"/>
        <w:wordWrap w:val="0"/>
        <w:jc w:val="right"/>
        <w:rPr>
          <w:rFonts w:hint="default"/>
        </w:rPr>
      </w:pPr>
      <w:r>
        <w:rPr>
          <w:rFonts w:hint="eastAsia"/>
          <w:sz w:val="20"/>
        </w:rPr>
        <mc:AlternateContent>
          <mc:Choice Requires="wps">
            <w:drawing>
              <wp:anchor distT="0" distB="0" distL="114300" distR="114300" simplePos="0" relativeHeight="3"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3;" o:spid="_x0000_s1027"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2"/>
        </w:rPr>
        <w:t>商号又は名</w:t>
      </w:r>
      <w:r>
        <w:rPr>
          <w:rFonts w:hint="eastAsia"/>
          <w:spacing w:val="0"/>
          <w:w w:val="83"/>
          <w:kern w:val="0"/>
          <w:fitText w:val="1205" w:id="2"/>
        </w:rPr>
        <w:t>称</w:t>
      </w:r>
      <w:r>
        <w:rPr>
          <w:rFonts w:hint="eastAsia"/>
          <w:kern w:val="0"/>
        </w:rPr>
        <w:t>　　　　　　　　　　　　　　　　</w:t>
      </w:r>
    </w:p>
    <w:p>
      <w:pPr>
        <w:pStyle w:val="0"/>
        <w:wordWrap w:val="0"/>
        <w:jc w:val="right"/>
        <w:rPr>
          <w:rFonts w:hint="default" w:ascii="ＭＳ 明朝" w:hAnsi="ＭＳ 明朝"/>
          <w:sz w:val="22"/>
        </w:rPr>
      </w:pPr>
      <w:r>
        <w:rPr>
          <w:rFonts w:hint="eastAsia"/>
        </w:rPr>
        <w:t>代表者氏名　　　　　　　　　　　　　　印　</w:t>
      </w:r>
    </w:p>
    <w:p>
      <w:pPr>
        <w:pStyle w:val="0"/>
        <w:rPr>
          <w:rFonts w:hint="default" w:ascii="ＭＳ 明朝" w:hAnsi="ＭＳ 明朝"/>
          <w:sz w:val="22"/>
        </w:rPr>
      </w:pPr>
    </w:p>
    <w:p>
      <w:pPr>
        <w:pStyle w:val="15"/>
        <w:rPr>
          <w:rFonts w:hint="default" w:ascii="ＭＳ 明朝" w:hAnsi="ＭＳ 明朝"/>
          <w:kern w:val="0"/>
          <w:sz w:val="22"/>
        </w:rPr>
      </w:pPr>
      <w:r>
        <w:rPr>
          <w:rFonts w:hint="eastAsia" w:ascii="ＭＳ 明朝" w:hAnsi="ＭＳ 明朝"/>
          <w:spacing w:val="212"/>
          <w:kern w:val="0"/>
          <w:sz w:val="22"/>
          <w:fitText w:val="4094" w:id="3"/>
        </w:rPr>
        <w:t>業務履行等調</w:t>
      </w:r>
      <w:r>
        <w:rPr>
          <w:rFonts w:hint="eastAsia" w:ascii="ＭＳ 明朝" w:hAnsi="ＭＳ 明朝"/>
          <w:spacing w:val="5"/>
          <w:kern w:val="0"/>
          <w:sz w:val="22"/>
          <w:fitText w:val="4094" w:id="3"/>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次のとおり施行実績等を有することから、気仙医療圏医療ガス単価契約の履行が確実に実施可能であることを誓約するため、下記のとおり業務実績等を報告します。</w:t>
      </w: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w:t>
            </w:r>
            <w:bookmarkStart w:id="0" w:name="_GoBack"/>
            <w:bookmarkEnd w:id="0"/>
            <w:r>
              <w:rPr>
                <w:rFonts w:hint="eastAsia" w:ascii="ＭＳ 明朝" w:hAnsi="ＭＳ 明朝"/>
                <w:sz w:val="22"/>
              </w:rPr>
              <w:t>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注１：業務名は、契約書記載の件名（名称）を記載すること。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leftChars="0" w:firstLine="0" w:firstLineChars="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4"/>
        </w:rPr>
        <w:t>商号又は名</w:t>
      </w:r>
      <w:r>
        <w:rPr>
          <w:rFonts w:hint="eastAsia"/>
          <w:spacing w:val="4"/>
          <w:w w:val="91"/>
          <w:kern w:val="0"/>
          <w:fitText w:val="1205" w:id="4"/>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color w:val="auto"/>
          <w:sz w:val="22"/>
        </w:rPr>
        <w:t>気仙医療圏医療ガス単価契約</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tbl>
      <w:tblPr>
        <w:tblStyle w:val="32"/>
        <w:tblW w:w="7527" w:type="dxa"/>
        <w:tblInd w:w="421" w:type="dxa"/>
        <w:tblLayout w:type="fixed"/>
        <w:tblLook w:firstRow="1" w:lastRow="0" w:firstColumn="1" w:lastColumn="0" w:noHBand="0" w:noVBand="1" w:val="04A0"/>
      </w:tblPr>
      <w:tblGrid>
        <w:gridCol w:w="1866"/>
        <w:gridCol w:w="1811"/>
        <w:gridCol w:w="1102"/>
        <w:gridCol w:w="1049"/>
        <w:gridCol w:w="1699"/>
      </w:tblGrid>
      <w:tr>
        <w:trPr/>
        <w:tc>
          <w:tcPr>
            <w:tcW w:w="1866" w:type="dxa"/>
            <w:vAlign w:val="top"/>
          </w:tcPr>
          <w:p>
            <w:pPr>
              <w:pStyle w:val="0"/>
              <w:tabs>
                <w:tab w:val="left" w:leader="none" w:pos="9639"/>
              </w:tabs>
              <w:jc w:val="center"/>
              <w:rPr>
                <w:rFonts w:hint="default"/>
              </w:rPr>
            </w:pPr>
            <w:r>
              <w:rPr>
                <w:rFonts w:hint="eastAsia"/>
              </w:rPr>
              <w:t>品名</w:t>
            </w:r>
          </w:p>
        </w:tc>
        <w:tc>
          <w:tcPr>
            <w:tcW w:w="1811" w:type="dxa"/>
            <w:vAlign w:val="top"/>
          </w:tcPr>
          <w:p>
            <w:pPr>
              <w:pStyle w:val="0"/>
              <w:tabs>
                <w:tab w:val="left" w:leader="none" w:pos="9639"/>
              </w:tabs>
              <w:ind w:right="3"/>
              <w:jc w:val="center"/>
              <w:rPr>
                <w:rFonts w:hint="default"/>
              </w:rPr>
            </w:pPr>
            <w:r>
              <w:rPr>
                <w:rFonts w:hint="eastAsia"/>
              </w:rPr>
              <w:t>規格</w:t>
            </w:r>
          </w:p>
        </w:tc>
        <w:tc>
          <w:tcPr>
            <w:tcW w:w="1102" w:type="dxa"/>
            <w:vAlign w:val="top"/>
          </w:tcPr>
          <w:p>
            <w:pPr>
              <w:pStyle w:val="0"/>
              <w:tabs>
                <w:tab w:val="left" w:leader="none" w:pos="9639"/>
              </w:tabs>
              <w:ind w:right="-55"/>
              <w:jc w:val="center"/>
              <w:rPr>
                <w:rFonts w:hint="default"/>
              </w:rPr>
            </w:pPr>
            <w:r>
              <w:rPr>
                <w:rFonts w:hint="eastAsia"/>
              </w:rPr>
              <w:t>単位</w:t>
            </w:r>
          </w:p>
        </w:tc>
        <w:tc>
          <w:tcPr>
            <w:tcW w:w="1049" w:type="dxa"/>
            <w:vAlign w:val="top"/>
          </w:tcPr>
          <w:p>
            <w:pPr>
              <w:pStyle w:val="0"/>
              <w:jc w:val="center"/>
              <w:rPr>
                <w:rFonts w:hint="eastAsia"/>
              </w:rPr>
            </w:pPr>
            <w:r>
              <w:rPr>
                <w:rFonts w:hint="eastAsia"/>
              </w:rPr>
              <w:t>見込</w:t>
            </w:r>
          </w:p>
          <w:p>
            <w:pPr>
              <w:pStyle w:val="0"/>
              <w:jc w:val="center"/>
              <w:rPr>
                <w:rFonts w:hint="eastAsia"/>
              </w:rPr>
            </w:pPr>
            <w:r>
              <w:rPr>
                <w:rFonts w:hint="eastAsia"/>
              </w:rPr>
              <w:t>数量</w:t>
            </w:r>
          </w:p>
        </w:tc>
        <w:tc>
          <w:tcPr>
            <w:tcW w:w="1699" w:type="dxa"/>
            <w:vAlign w:val="top"/>
          </w:tcPr>
          <w:p>
            <w:pPr>
              <w:pStyle w:val="0"/>
              <w:tabs>
                <w:tab w:val="left" w:leader="none" w:pos="9639"/>
              </w:tabs>
              <w:ind w:right="-108" w:rightChars="-45"/>
              <w:jc w:val="center"/>
              <w:rPr>
                <w:rFonts w:hint="default"/>
              </w:rPr>
            </w:pPr>
            <w:r>
              <w:rPr>
                <w:rFonts w:hint="eastAsia"/>
              </w:rPr>
              <w:t>入札金額</w:t>
            </w:r>
          </w:p>
          <w:p>
            <w:pPr>
              <w:pStyle w:val="0"/>
              <w:tabs>
                <w:tab w:val="left" w:leader="none" w:pos="9639"/>
              </w:tabs>
              <w:ind w:right="-108" w:rightChars="-45"/>
              <w:jc w:val="center"/>
              <w:rPr>
                <w:rFonts w:hint="default"/>
              </w:rPr>
            </w:pPr>
            <w:r>
              <w:rPr>
                <w:rFonts w:hint="eastAsia"/>
              </w:rPr>
              <w:t>（税抜単価）</w:t>
            </w:r>
          </w:p>
        </w:tc>
      </w:tr>
      <w:tr>
        <w:trPr>
          <w:trHeight w:val="899" w:hRule="atLeast"/>
        </w:trPr>
        <w:tc>
          <w:tcPr>
            <w:tcW w:w="1866" w:type="dxa"/>
            <w:vAlign w:val="center"/>
          </w:tcPr>
          <w:p>
            <w:pPr>
              <w:pStyle w:val="0"/>
              <w:rPr>
                <w:rFonts w:hint="eastAsia"/>
              </w:rPr>
            </w:pPr>
            <w:r>
              <w:rPr>
                <w:rFonts w:hint="eastAsia"/>
              </w:rPr>
              <w:t>日本薬局方　</w:t>
            </w:r>
          </w:p>
          <w:p>
            <w:pPr>
              <w:pStyle w:val="0"/>
              <w:rPr>
                <w:rFonts w:hint="eastAsia"/>
              </w:rPr>
            </w:pPr>
            <w:r>
              <w:rPr>
                <w:rFonts w:hint="eastAsia"/>
              </w:rPr>
              <w:t>酸素</w:t>
            </w:r>
          </w:p>
        </w:tc>
        <w:tc>
          <w:tcPr>
            <w:tcW w:w="1811" w:type="dxa"/>
            <w:vAlign w:val="center"/>
          </w:tcPr>
          <w:p>
            <w:pPr>
              <w:pStyle w:val="0"/>
              <w:rPr>
                <w:rFonts w:hint="eastAsia"/>
              </w:rPr>
            </w:pPr>
            <w:r>
              <w:rPr>
                <w:rFonts w:hint="eastAsia"/>
              </w:rPr>
              <w:t>500L/</w:t>
            </w:r>
            <w:r>
              <w:rPr>
                <w:rFonts w:hint="eastAsia"/>
              </w:rPr>
              <w:t>本</w:t>
            </w:r>
          </w:p>
        </w:tc>
        <w:tc>
          <w:tcPr>
            <w:tcW w:w="1102" w:type="dxa"/>
            <w:vAlign w:val="center"/>
          </w:tcPr>
          <w:p>
            <w:pPr>
              <w:pStyle w:val="0"/>
              <w:rPr>
                <w:rFonts w:hint="eastAsia"/>
              </w:rPr>
            </w:pPr>
            <w:r>
              <w:rPr>
                <w:rFonts w:hint="eastAsia"/>
              </w:rPr>
              <w:t>本</w:t>
            </w:r>
          </w:p>
        </w:tc>
        <w:tc>
          <w:tcPr>
            <w:tcW w:w="1049" w:type="dxa"/>
            <w:vAlign w:val="center"/>
          </w:tcPr>
          <w:p>
            <w:pPr>
              <w:pStyle w:val="0"/>
              <w:jc w:val="right"/>
              <w:rPr>
                <w:rFonts w:hint="eastAsia"/>
              </w:rPr>
            </w:pPr>
            <w:r>
              <w:rPr>
                <w:rFonts w:hint="eastAsia"/>
              </w:rPr>
              <w:t>828</w:t>
            </w:r>
          </w:p>
        </w:tc>
        <w:tc>
          <w:tcPr>
            <w:tcW w:w="1699" w:type="dxa"/>
            <w:vAlign w:val="center"/>
          </w:tcPr>
          <w:p>
            <w:pPr>
              <w:pStyle w:val="0"/>
              <w:rPr>
                <w:rFonts w:hint="eastAsia"/>
              </w:rPr>
            </w:pPr>
          </w:p>
        </w:tc>
      </w:tr>
      <w:tr>
        <w:trPr>
          <w:trHeight w:val="899" w:hRule="atLeast"/>
        </w:trPr>
        <w:tc>
          <w:tcPr>
            <w:tcW w:w="1866" w:type="dxa"/>
            <w:vAlign w:val="center"/>
          </w:tcPr>
          <w:p>
            <w:pPr>
              <w:pStyle w:val="0"/>
              <w:rPr>
                <w:rFonts w:hint="eastAsia"/>
              </w:rPr>
            </w:pPr>
            <w:r>
              <w:rPr>
                <w:rFonts w:hint="eastAsia"/>
              </w:rPr>
              <w:t>液化酸素</w:t>
            </w:r>
          </w:p>
        </w:tc>
        <w:tc>
          <w:tcPr>
            <w:tcW w:w="1811" w:type="dxa"/>
            <w:vAlign w:val="center"/>
          </w:tcPr>
          <w:p>
            <w:pPr>
              <w:pStyle w:val="0"/>
              <w:rPr>
                <w:rFonts w:hint="eastAsia"/>
              </w:rPr>
            </w:pPr>
            <w:r>
              <w:rPr>
                <w:rFonts w:hint="eastAsia"/>
              </w:rPr>
              <w:t>1</w:t>
            </w:r>
            <w:r>
              <w:rPr>
                <w:rFonts w:hint="eastAsia"/>
              </w:rPr>
              <w:t>㎥</w:t>
            </w:r>
          </w:p>
        </w:tc>
        <w:tc>
          <w:tcPr>
            <w:tcW w:w="1102" w:type="dxa"/>
            <w:vAlign w:val="center"/>
          </w:tcPr>
          <w:p>
            <w:pPr>
              <w:pStyle w:val="0"/>
              <w:rPr>
                <w:rFonts w:hint="eastAsia"/>
              </w:rPr>
            </w:pPr>
            <w:r>
              <w:rPr>
                <w:rFonts w:hint="eastAsia"/>
              </w:rPr>
              <w:t>㎥</w:t>
            </w:r>
          </w:p>
        </w:tc>
        <w:tc>
          <w:tcPr>
            <w:tcW w:w="1049" w:type="dxa"/>
            <w:vAlign w:val="center"/>
          </w:tcPr>
          <w:p>
            <w:pPr>
              <w:pStyle w:val="0"/>
              <w:jc w:val="right"/>
              <w:rPr>
                <w:rFonts w:hint="eastAsia"/>
              </w:rPr>
            </w:pPr>
            <w:r>
              <w:rPr>
                <w:rFonts w:hint="eastAsia"/>
              </w:rPr>
              <w:t>64,341</w:t>
            </w:r>
          </w:p>
        </w:tc>
        <w:tc>
          <w:tcPr>
            <w:tcW w:w="1699" w:type="dxa"/>
            <w:vAlign w:val="center"/>
          </w:tcPr>
          <w:p>
            <w:pPr>
              <w:pStyle w:val="0"/>
              <w:rPr>
                <w:rFonts w:hint="eastAsia"/>
              </w:rPr>
            </w:pPr>
          </w:p>
        </w:tc>
      </w:tr>
      <w:tr>
        <w:trPr>
          <w:trHeight w:val="899" w:hRule="atLeast"/>
        </w:trPr>
        <w:tc>
          <w:tcPr>
            <w:tcW w:w="1866" w:type="dxa"/>
            <w:vAlign w:val="center"/>
          </w:tcPr>
          <w:p>
            <w:pPr>
              <w:pStyle w:val="0"/>
              <w:rPr>
                <w:rFonts w:hint="eastAsia"/>
              </w:rPr>
            </w:pPr>
            <w:r>
              <w:rPr>
                <w:rFonts w:hint="eastAsia"/>
              </w:rPr>
              <w:t>液化窒素</w:t>
            </w:r>
          </w:p>
        </w:tc>
        <w:tc>
          <w:tcPr>
            <w:tcW w:w="1811" w:type="dxa"/>
            <w:vAlign w:val="center"/>
          </w:tcPr>
          <w:p>
            <w:pPr>
              <w:pStyle w:val="0"/>
              <w:rPr>
                <w:rFonts w:hint="eastAsia"/>
              </w:rPr>
            </w:pPr>
            <w:r>
              <w:rPr>
                <w:rFonts w:hint="eastAsia"/>
              </w:rPr>
              <w:t>4L/</w:t>
            </w:r>
            <w:r>
              <w:rPr>
                <w:rFonts w:hint="eastAsia"/>
              </w:rPr>
              <w:t>本</w:t>
            </w:r>
          </w:p>
        </w:tc>
        <w:tc>
          <w:tcPr>
            <w:tcW w:w="1102" w:type="dxa"/>
            <w:vAlign w:val="center"/>
          </w:tcPr>
          <w:p>
            <w:pPr>
              <w:pStyle w:val="0"/>
              <w:rPr>
                <w:rFonts w:hint="eastAsia"/>
              </w:rPr>
            </w:pPr>
            <w:r>
              <w:rPr>
                <w:rFonts w:hint="eastAsia"/>
              </w:rPr>
              <w:t>L</w:t>
            </w:r>
          </w:p>
        </w:tc>
        <w:tc>
          <w:tcPr>
            <w:tcW w:w="1049" w:type="dxa"/>
            <w:vAlign w:val="center"/>
          </w:tcPr>
          <w:p>
            <w:pPr>
              <w:pStyle w:val="0"/>
              <w:jc w:val="right"/>
              <w:rPr>
                <w:rFonts w:hint="eastAsia"/>
              </w:rPr>
            </w:pPr>
            <w:r>
              <w:rPr>
                <w:rFonts w:hint="eastAsia"/>
              </w:rPr>
              <w:t>358</w:t>
            </w:r>
          </w:p>
        </w:tc>
        <w:tc>
          <w:tcPr>
            <w:tcW w:w="1699" w:type="dxa"/>
            <w:vAlign w:val="center"/>
          </w:tcPr>
          <w:p>
            <w:pPr>
              <w:pStyle w:val="0"/>
              <w:rPr>
                <w:rFonts w:hint="eastAsia"/>
              </w:rPr>
            </w:pPr>
          </w:p>
        </w:tc>
      </w:tr>
      <w:tr>
        <w:trPr>
          <w:trHeight w:val="899" w:hRule="atLeast"/>
        </w:trPr>
        <w:tc>
          <w:tcPr>
            <w:tcW w:w="1866" w:type="dxa"/>
            <w:vAlign w:val="center"/>
          </w:tcPr>
          <w:p>
            <w:pPr>
              <w:pStyle w:val="0"/>
              <w:rPr>
                <w:rFonts w:hint="default"/>
              </w:rPr>
            </w:pPr>
            <w:r>
              <w:rPr>
                <w:rFonts w:hint="eastAsia"/>
              </w:rPr>
              <w:t>液化酸素　</w:t>
            </w:r>
          </w:p>
          <w:p>
            <w:pPr>
              <w:pStyle w:val="0"/>
              <w:rPr>
                <w:rFonts w:hint="default"/>
              </w:rPr>
            </w:pPr>
            <w:r>
              <w:rPr>
                <w:rFonts w:hint="eastAsia"/>
              </w:rPr>
              <w:t>医療用（</w:t>
            </w:r>
            <w:r>
              <w:rPr>
                <w:rFonts w:hint="eastAsia"/>
              </w:rPr>
              <w:t>ELF</w:t>
            </w:r>
            <w:r>
              <w:rPr>
                <w:rFonts w:hint="eastAsia"/>
              </w:rPr>
              <w:t>）</w:t>
            </w:r>
          </w:p>
        </w:tc>
        <w:tc>
          <w:tcPr>
            <w:tcW w:w="1811" w:type="dxa"/>
            <w:vAlign w:val="center"/>
          </w:tcPr>
          <w:p>
            <w:pPr>
              <w:pStyle w:val="0"/>
              <w:rPr>
                <w:rFonts w:hint="default"/>
              </w:rPr>
            </w:pPr>
            <w:r>
              <w:rPr>
                <w:rFonts w:hint="eastAsia"/>
              </w:rPr>
              <w:t>1</w:t>
            </w:r>
            <w:r>
              <w:rPr>
                <w:rFonts w:hint="eastAsia"/>
              </w:rPr>
              <w:t>㎥</w:t>
            </w:r>
          </w:p>
        </w:tc>
        <w:tc>
          <w:tcPr>
            <w:tcW w:w="1102" w:type="dxa"/>
            <w:vAlign w:val="center"/>
          </w:tcPr>
          <w:p>
            <w:pPr>
              <w:pStyle w:val="0"/>
              <w:rPr>
                <w:rFonts w:hint="default"/>
              </w:rPr>
            </w:pPr>
            <w:r>
              <w:rPr>
                <w:rFonts w:hint="eastAsia"/>
              </w:rPr>
              <w:t>㎥</w:t>
            </w:r>
          </w:p>
        </w:tc>
        <w:tc>
          <w:tcPr>
            <w:tcW w:w="1049" w:type="dxa"/>
            <w:vAlign w:val="center"/>
          </w:tcPr>
          <w:p>
            <w:pPr>
              <w:pStyle w:val="0"/>
              <w:jc w:val="right"/>
              <w:rPr>
                <w:rFonts w:hint="eastAsia"/>
              </w:rPr>
            </w:pPr>
            <w:r>
              <w:rPr>
                <w:rFonts w:hint="eastAsia"/>
              </w:rPr>
              <w:t>7,392</w:t>
            </w:r>
          </w:p>
        </w:tc>
        <w:tc>
          <w:tcPr>
            <w:tcW w:w="1699" w:type="dxa"/>
            <w:vAlign w:val="center"/>
          </w:tcPr>
          <w:p>
            <w:pPr>
              <w:pStyle w:val="0"/>
              <w:tabs>
                <w:tab w:val="left" w:leader="none" w:pos="9639"/>
              </w:tabs>
              <w:ind w:right="31"/>
              <w:rPr>
                <w:rFonts w:hint="default"/>
              </w:rPr>
            </w:pPr>
          </w:p>
        </w:tc>
      </w:tr>
    </w:tbl>
    <w:p>
      <w:pPr>
        <w:pStyle w:val="0"/>
        <w:tabs>
          <w:tab w:val="left" w:leader="none" w:pos="9639"/>
        </w:tabs>
        <w:ind w:right="963"/>
        <w:rPr>
          <w:rFonts w:hint="default"/>
        </w:rPr>
      </w:pPr>
      <w:r>
        <w:rPr>
          <w:rFonts w:hint="eastAsia"/>
        </w:rPr>
        <w:t>　　注）１　品目ごとの入札であること。</w:t>
      </w:r>
    </w:p>
    <w:p>
      <w:pPr>
        <w:pStyle w:val="0"/>
        <w:tabs>
          <w:tab w:val="left" w:leader="none" w:pos="9639"/>
        </w:tabs>
        <w:ind w:right="963"/>
        <w:rPr>
          <w:rFonts w:hint="default"/>
        </w:rPr>
      </w:pPr>
      <w:r>
        <w:rPr>
          <w:rFonts w:hint="eastAsia"/>
        </w:rPr>
        <w:t>　　　　２　入札金額は１単位あたりの単価を消費税及び地方消費税抜きで記載</w:t>
      </w:r>
    </w:p>
    <w:p>
      <w:pPr>
        <w:pStyle w:val="0"/>
        <w:tabs>
          <w:tab w:val="left" w:leader="none" w:pos="9639"/>
        </w:tabs>
        <w:ind w:right="963" w:rightChars="0" w:firstLine="1205" w:firstLineChars="500"/>
        <w:rPr>
          <w:rFonts w:hint="default"/>
        </w:rPr>
      </w:pPr>
      <w:r>
        <w:rPr>
          <w:rFonts w:hint="eastAsia"/>
        </w:rPr>
        <w:t>すること。</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仕様書その他貴院の指示のとおりとする。</w:t>
      </w:r>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5"/>
        </w:rPr>
        <w:t>委任</w:t>
      </w:r>
      <w:r>
        <w:rPr>
          <w:rFonts w:hint="eastAsia" w:ascii="ＭＳ 明朝" w:hAnsi="ＭＳ 明朝"/>
          <w:spacing w:val="1"/>
          <w:kern w:val="0"/>
          <w:sz w:val="40"/>
          <w:fitText w:val="3150" w:id="5"/>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w:t>
      </w:r>
      <w:r>
        <w:rPr>
          <w:rFonts w:hint="eastAsia" w:ascii="ＭＳ 明朝" w:hAnsi="ＭＳ 明朝"/>
          <w:color w:val="auto"/>
          <w:sz w:val="22"/>
        </w:rPr>
        <w:t>気仙医療圏医療ガス単価契約</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w:t>
      </w:r>
      <w:r>
        <w:rPr>
          <w:rFonts w:hint="eastAsia" w:ascii="ＭＳ 明朝" w:hAnsi="ＭＳ 明朝"/>
          <w:color w:val="auto"/>
          <w:sz w:val="22"/>
        </w:rPr>
        <w:t>気仙医療圏医療ガス単価契約</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5</Pages>
  <Words>34</Words>
  <Characters>1646</Characters>
  <Application>JUST Note</Application>
  <Lines>257</Lines>
  <Paragraphs>129</Paragraphs>
  <Company>Toshiba</Company>
  <CharactersWithSpaces>2217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IR02020</cp:lastModifiedBy>
  <cp:lastPrinted>2026-02-16T08:28:37Z</cp:lastPrinted>
  <dcterms:created xsi:type="dcterms:W3CDTF">2023-08-03T05:24:00Z</dcterms:created>
  <dcterms:modified xsi:type="dcterms:W3CDTF">2026-02-16T08:20:28Z</dcterms:modified>
  <cp:revision>21</cp:revision>
</cp:coreProperties>
</file>